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1" w:rsidRPr="00A44537" w:rsidRDefault="000D0A21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81C9" wp14:editId="7337CE83">
                <wp:simplePos x="0" y="0"/>
                <wp:positionH relativeFrom="column">
                  <wp:posOffset>6191250</wp:posOffset>
                </wp:positionH>
                <wp:positionV relativeFrom="paragraph">
                  <wp:posOffset>-323850</wp:posOffset>
                </wp:positionV>
                <wp:extent cx="31623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21" w:rsidRPr="0068119A" w:rsidRDefault="000D0A21" w:rsidP="000D0A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:rsidR="000D0A21" w:rsidRPr="0068119A" w:rsidRDefault="000D0A21" w:rsidP="000D0A2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8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5pt;margin-top:-25.5pt;width:249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" fillcolor="white [3201]" strokeweight=".5pt">
                <v:textbox>
                  <w:txbxContent>
                    <w:p w:rsidR="000D0A21" w:rsidRPr="0068119A" w:rsidRDefault="000D0A21" w:rsidP="000D0A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:rsidR="000D0A21" w:rsidRPr="0068119A" w:rsidRDefault="000D0A21" w:rsidP="000D0A2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Mapping Pro-forma – Workforce Competence Model</w:t>
      </w:r>
      <w:r w:rsidR="00F85A0E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5</w:t>
      </w:r>
    </w:p>
    <w:p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place. </w:t>
      </w:r>
    </w:p>
    <w:p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3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L3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273AA" w:rsidRPr="007E4DB2" w:rsidRDefault="00672D25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D25">
              <w:rPr>
                <w:rFonts w:ascii="Arial" w:hAnsi="Arial" w:cs="Arial"/>
                <w:color w:val="auto"/>
                <w:sz w:val="20"/>
                <w:szCs w:val="24"/>
              </w:rPr>
              <w:t>Detail which sub-competences your course covers</w:t>
            </w:r>
            <w:r w:rsidR="00DC3D8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2D25">
              <w:rPr>
                <w:rFonts w:ascii="Arial" w:hAnsi="Arial" w:cs="Arial"/>
                <w:color w:val="auto"/>
                <w:sz w:val="20"/>
                <w:szCs w:val="24"/>
              </w:rPr>
              <w:t xml:space="preserve">and where </w:t>
            </w:r>
            <w:r w:rsidR="00DC3D8D">
              <w:rPr>
                <w:rFonts w:ascii="Arial" w:hAnsi="Arial" w:cs="Arial"/>
                <w:color w:val="auto"/>
                <w:sz w:val="20"/>
                <w:szCs w:val="24"/>
              </w:rPr>
              <w:t>each</w:t>
            </w:r>
            <w:r w:rsidRPr="00672D25">
              <w:rPr>
                <w:rFonts w:ascii="Arial" w:hAnsi="Arial" w:cs="Arial"/>
                <w:color w:val="auto"/>
                <w:sz w:val="20"/>
                <w:szCs w:val="24"/>
              </w:rPr>
              <w:t xml:space="preserve"> is addressed in the course document</w:t>
            </w:r>
          </w:p>
        </w:tc>
      </w:tr>
      <w:tr w:rsidR="00F85A0E" w:rsidRPr="00D50496" w:rsidTr="003B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:rsidR="00F85A0E" w:rsidRPr="00D50496" w:rsidRDefault="00F85A0E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</w:t>
            </w:r>
          </w:p>
        </w:tc>
        <w:tc>
          <w:tcPr>
            <w:tcW w:w="13236" w:type="dxa"/>
            <w:gridSpan w:val="2"/>
            <w:tcBorders>
              <w:top w:val="nil"/>
            </w:tcBorders>
            <w:shd w:val="clear" w:color="auto" w:fill="F79646" w:themeFill="accent6"/>
            <w:vAlign w:val="center"/>
          </w:tcPr>
          <w:p w:rsidR="00F85A0E" w:rsidRPr="00D50496" w:rsidRDefault="00F85A0E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85A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(for competence 1 at least half of all sub-competences at level 3 must be met)</w:t>
            </w: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Quantities and sources of essential food components required for a healthy and balanced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to support individuals with different dietary needs including an awareness of what contributes to an unhealthy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 xml:space="preserve">Different ways of preparing and cooking food to a safe and hygienic standard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dietary needs differ by gender and age groups and according to physical activity levels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Different cultural and religious food practices within your local community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financial, social and lifestyle pressures can affect food choice and dietary habits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to read and interpret food labels and explain the importance of food labelling to others when making food choices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UK guidelines related to nutrition, food groups, portion sizing and eating a balanced and healthy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Location and availability of local markets/stores, to enable individuals to access and choose healthy food products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5A0E" w:rsidRPr="00D50496" w:rsidTr="007A7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F79646" w:themeFill="accent6"/>
            <w:vAlign w:val="center"/>
          </w:tcPr>
          <w:p w:rsidR="00F85A0E" w:rsidRPr="00D50496" w:rsidRDefault="00F85A0E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4</w:t>
            </w:r>
          </w:p>
        </w:tc>
        <w:tc>
          <w:tcPr>
            <w:tcW w:w="13236" w:type="dxa"/>
            <w:gridSpan w:val="2"/>
            <w:shd w:val="clear" w:color="auto" w:fill="F79646" w:themeFill="accent6"/>
          </w:tcPr>
          <w:p w:rsidR="00F85A0E" w:rsidRPr="00D50496" w:rsidRDefault="00F85A0E" w:rsidP="00F85A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85A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(for competence 1 at least half of all sub-competences at 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  <w:r w:rsidRPr="00F85A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must be met)</w:t>
            </w: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Basic anatomy and physiology of the human body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How foods and nutrients are digested, metabolised, absorbed and stored in the body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The specific nutritional needs required throughout human development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Principles of weight management and how energy intake and expenditure affects the body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UK policies and regulations surrounding food labelling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Effective health promotion campaigns related to food and nutrition which address prominent chronic diseases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5A0E" w:rsidRPr="00D50496" w:rsidTr="00C90D8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F85A0E" w:rsidRPr="00D50496" w:rsidRDefault="00F85A0E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13236" w:type="dxa"/>
            <w:gridSpan w:val="2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</w:tcBorders>
            <w:shd w:val="clear" w:color="auto" w:fill="F79646" w:themeFill="accent6"/>
            <w:vAlign w:val="center"/>
          </w:tcPr>
          <w:p w:rsidR="00F85A0E" w:rsidRPr="00D50496" w:rsidRDefault="00F85A0E" w:rsidP="00F85A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85A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(for competence 1 at least half of all sub-competences at 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  <w:r w:rsidRPr="00F85A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must be met)</w:t>
            </w: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The impact of medical conditions on intake, absorption and utilisation of nutrients, taking into account the effect of drug-nutrient interactions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The problems associated with over and under-nutrition and the application of body and dietary assessment tools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B17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612EBC" w:rsidRDefault="009273AA" w:rsidP="003B04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612EBC">
              <w:rPr>
                <w:rFonts w:ascii="Arial" w:hAnsi="Arial" w:cs="Arial"/>
                <w:sz w:val="17"/>
                <w:szCs w:val="17"/>
              </w:rPr>
              <w:t>European and National legislation relating to nutrition, specifically nutrition governance and public health agendas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3B04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9273AA" w:rsidRPr="00612EBC" w:rsidRDefault="009273AA" w:rsidP="00BB32C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FT103K, FT102K, CHS148, FT105K</w:t>
            </w:r>
          </w:p>
        </w:tc>
        <w:tc>
          <w:tcPr>
            <w:tcW w:w="6756" w:type="dxa"/>
          </w:tcPr>
          <w:p w:rsidR="009273AA" w:rsidRPr="007E4DB2" w:rsidRDefault="009273AA" w:rsidP="00BB32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IT Skills &amp; Knowledge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9273AA" w:rsidRPr="007E4DB2" w:rsidRDefault="009273AA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 and 4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Appropriate terminology when referring to IT systems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How to efficiently manage electronic files and folders to enable information storage, organisation and retrieval storage.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What storage media to use, when and how to use it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Basic use of different software programmes and applications which may be needed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The importance of safe handling, including the protection of sensitive data and the appropriate information security procedures.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How to access safe and reliable websites when directing individuals to sources of information.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How to minimise risk when using IT-based communications online and how and why to carry out routine maintenance of IT systems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D50496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6480" w:type="dxa"/>
            <w:tcBorders>
              <w:bottom w:val="single" w:sz="8" w:space="0" w:color="F79646" w:themeColor="accent6"/>
            </w:tcBorders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4928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manipulate and adapt different types of data to suit meaning and purpose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B02C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make effective use of IT tools and facilities to present information that is fit for purpose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B02C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50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Evaluate and review the IT tools selected to meet needs in order to improve future work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50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3B04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sz w:val="17"/>
                <w:szCs w:val="17"/>
              </w:rPr>
              <w:t>How to use nutrition related software to meet needs and solve problems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3B04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9273AA" w:rsidRPr="00BB32C8" w:rsidRDefault="009273AA" w:rsidP="00BB32C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IUF:FS, ISF:FS</w:t>
            </w:r>
          </w:p>
        </w:tc>
        <w:tc>
          <w:tcPr>
            <w:tcW w:w="6756" w:type="dxa"/>
          </w:tcPr>
          <w:p w:rsidR="009273AA" w:rsidRPr="007E4DB2" w:rsidRDefault="009273AA" w:rsidP="00BB32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73AA" w:rsidRPr="00612EBC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288D" w:rsidRDefault="0049288D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Relating &amp; Communicating to Others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9273AA" w:rsidRPr="007E4DB2" w:rsidRDefault="009273AA" w:rsidP="009273A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73AA" w:rsidRPr="00D50496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Level 3 and 4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Appropriate ways to work with individuals so that they have confidence in you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put individuals at ease and encourage them to take part in health related activities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apply listening skills, empathy and compassion when necessary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use effective forms of questioning to encourage discussions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effective written and verbal communication and personal presentation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present information clearly, concisely, accurately and in ways that aid understanding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A147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communicating reliable evidenced</w:t>
            </w:r>
            <w:r w:rsidR="00A14725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based health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1014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present information to respond to the needs and capabilities of the individual/group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communicating to individual(s) in a way that is consistent with their level of understanding, language, culture, background and preferred ways of communicating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use and adapt quickly to different communication channels to engage with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  <w:r w:rsid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A147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your communication skill</w:t>
            </w:r>
            <w:r w:rsidR="00A14725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 reflect on you, your organisation and workplace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0C25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and when to follow lines of communication within your organisation which enable you to liaise with appropriate individuals at the suitable time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ethical conduct when communicating with individuals/groups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D50496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6480" w:type="dxa"/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A14725" w:rsidRDefault="009273AA" w:rsidP="00A147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A14725">
              <w:rPr>
                <w:rFonts w:ascii="Arial" w:hAnsi="Arial" w:cs="Arial"/>
                <w:color w:val="FF6600"/>
                <w:sz w:val="17"/>
                <w:szCs w:val="17"/>
              </w:rPr>
              <w:t>14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9273AA" w:rsidRPr="007E4DB2" w:rsidRDefault="009273AA" w:rsidP="00F374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structure and design activities including presentations which are appropriate for the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F374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A14725" w:rsidRDefault="009273AA" w:rsidP="00A147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A14725">
              <w:rPr>
                <w:rFonts w:ascii="Arial" w:hAnsi="Arial" w:cs="Arial"/>
                <w:color w:val="FF6600"/>
                <w:sz w:val="17"/>
                <w:szCs w:val="17"/>
              </w:rPr>
              <w:t>15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7E4DB2" w:rsidRDefault="00101431" w:rsidP="001014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Diplomatic methods of working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9273AA" w:rsidRPr="00BB32C8" w:rsidRDefault="009273AA" w:rsidP="003B041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GEN62, GEN18, HT4, GEN97</w:t>
            </w:r>
          </w:p>
        </w:tc>
        <w:tc>
          <w:tcPr>
            <w:tcW w:w="6756" w:type="dxa"/>
          </w:tcPr>
          <w:p w:rsidR="009273AA" w:rsidRPr="007E4DB2" w:rsidRDefault="009273AA" w:rsidP="003B04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7EDB" w:rsidRPr="00612EBC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4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Collaborative Working Practices</w:t>
            </w:r>
          </w:p>
        </w:tc>
      </w:tr>
      <w:tr w:rsidR="00267EDB" w:rsidRPr="00D50496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267EDB" w:rsidRPr="00D50496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3 and 4</w:t>
            </w: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you can and should contribute to team activities and objectives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offer supportive and constructive assistance to team members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motivate individuals and promote team spirit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evaluate and use feedback from others constructively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recognising and respecting the roles and responsibilities of colleagues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benefits of developing productive working relationships internal and external to your organisation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initiating collaborative work processes with colleagues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101431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101431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impact your behaviour has on others and the functioning of the team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D50496" w:rsidRDefault="00267EDB" w:rsidP="00B6223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267EDB" w:rsidRPr="00D50496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supervise individuals effectively in the manner and at the frequency agreed with them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purpose of providing individuals with clear direction and accurate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identify disagreements among colleagues and adopting methods to resolve them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identify conflicts of interest and the measures used to manage or remove them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actively monitor professional and behavioural boundaries in the workplace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take account of diversity issues when developing working relationships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advantages and disadvantages of collaborative working and how to demonstrate these to partner organisations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individuals’ choice and the ways in which collaborative working can facilitate and encourage individuals’ choice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267EDB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BA320, HSC241, GEN36, GEN35, GEN27</w:t>
            </w:r>
          </w:p>
          <w:p w:rsidR="00267EDB" w:rsidRPr="00BB32C8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267EDB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7EDB" w:rsidRPr="00612EBC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5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Effective Organisation &amp; Time Management</w:t>
            </w:r>
          </w:p>
        </w:tc>
      </w:tr>
      <w:tr w:rsidR="00267EDB" w:rsidRPr="007E4DB2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 and 4</w:t>
            </w: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plan, organise and prioritise your own time to enable you to perform work activities effectively to meet deadlines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organise and present work to others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benefits of using your own initiative in the work environment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responding promptly and appropriately to meet the needs of others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need to adjust plans and activities unexpectedly in a timely and flexible manner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Different ways in which your own development can be planned and structured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checking and using any risk assessments prior to beginning work activities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9415F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9415F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check for hazards and health, safety and security risk whilst you are working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making time available to supervise and support others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Factors that need to be managed when arranging and co-ordinating learning and development opportunities for others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selecting, preparing and setting out essential resources safely, efficiently and in accordance with relevant protocols and local/national guidelines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267EDB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HT4, GEN36, GEN62, GEN97, GEN13, CHS148, HSC22, PHP05, 030NLaD06, GEN6, HSC440</w:t>
            </w:r>
          </w:p>
          <w:p w:rsidR="00267EDB" w:rsidRPr="00BB32C8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267EDB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7EDB" w:rsidRPr="00612EBC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6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Promoting Behaviour Change</w:t>
            </w: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 and 4</w:t>
            </w: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Potential barriers to public health and wellbeing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provide information to individuals, groups and communities about behaviour change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The importance of encouraging individuals to identify for themselves the factors that affect their health and wellbeing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benefits of encouraging individuals to recognise their strengths and value themselves positively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motivating individuals throughout the behaviour change process in a manner that is appropriate to them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General strategies for promoting behaviour change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range of services available locally for people who need information and support in making and maintaining changes in their behaviour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access information and data on the use of relevant services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kinds of misinformation which people receive about health and wellbeing and how this can be counteracted through behavioural change activities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6480" w:type="dxa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se and application of the different theoretical models of behaviour change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identify specific strategies for changing an individual’s behaviour which is consistent with their personal circumstances, their motivation for change and the risks associated with their behaviour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drawing individuals attention to the consequences of their behaviour, the advantages of changing their behaviour and the alternatives available to them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assist individuals in identifying realistic short and long term goals for changing their behaviour and managing the risks associated with it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drawing up agreements with individuals to assess how their behaviour change progress will be reviewed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267EDB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PHP13, PHP05, PHP15, PHP41, CHS148</w:t>
            </w:r>
          </w:p>
          <w:p w:rsidR="00267EDB" w:rsidRPr="00BB32C8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267EDB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7EDB" w:rsidRPr="00612EBC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7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Data Collection Techniques</w:t>
            </w: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Principle of valid consent and how to obtain consent from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Nature and sources of the data and information to be collected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Appropriate use of data collection tools and techniques in your area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Objectives and purpose of the data and information collection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Data entry, storage and retrieval practices and procedures in accordance with organisational polices and standards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Data sharing protocols in place which apply to data sources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purpose of qualitative and quantitative data collection methods available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wider sensitivities of data and information relevant to your role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the quality of data and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different methods of validating the quality of data and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Your responsibilities and accountability in relation to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urrent European and National legislation, national guidelines, local policies, protocols and information governance concerning the collection and use of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267EDB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H17, CHS148, HT4, PHP05</w:t>
            </w:r>
          </w:p>
          <w:p w:rsidR="00267EDB" w:rsidRPr="00BB32C8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267EDB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7EDB" w:rsidRPr="00612EBC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8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Facilitating Group Activities</w:t>
            </w:r>
          </w:p>
        </w:tc>
      </w:tr>
      <w:tr w:rsidR="00267EDB" w:rsidRPr="007E4DB2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individual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’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s needs, requirements and planned outcomes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Why it is important for individuals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’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 needs to be at the centre of programme plans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involve the group in the delivery of programme plans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How to structure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 xml:space="preserve"> demonstration so that the group can get the most out of it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encourage individuals to ask questions and give explanations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regularly monitoring the group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’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s understanding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 identifying which learning outcomes will be achieved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esources needed to deliver the plan and ensure these are within allocated budget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reduce distractions and disruptions as much as possible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evaluate effective learning outcomes for future development and improvement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assess and manage risk whilst facilitating learning and development in groups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ensure that group activities take place in a safe environment and allow learners to see the demonstration/activity clearly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co-ordinate learning and development activities to meet individual and group needs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range of delivery methods appropriate to learning in groups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Different techniques to manage group dynamics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Different ways of encouraging behaviour and values that foster mutual respect and support the learning and development process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organisational, legal and professional requirements that should be followed when planning learning and development programmes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267EDB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030NLaD06, 030NLaD03, PL309S</w:t>
            </w:r>
          </w:p>
          <w:p w:rsidR="00267EDB" w:rsidRPr="00BB32C8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267EDB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7EDB" w:rsidRPr="00612EBC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9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Research Methods</w:t>
            </w: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13236" w:type="dxa"/>
            <w:gridSpan w:val="2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ature and extent of the research plan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cale, purpose and objectives of the research programme and the results to be achieved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context in which the results will be used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range of interpretive methods which could be used within the research programme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Methods for identifying relevant sources of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Methods of capturing and storing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Methods and techniques for presentation of research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Techniques for assessing the reliability and validity of research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Issues affecting the research results and recommendations for further action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10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relevance of the Research Governance Framework for Health and Social Care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Your organisation’s requirements in respect of documentation, access to and use of research results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Ethical, regulatory and legal issues pertaining to the research results, including access and use of information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Intellectual property issues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267EDB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R&amp;D11, R&amp;D13</w:t>
            </w:r>
          </w:p>
          <w:p w:rsidR="00267EDB" w:rsidRPr="00BB32C8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267EDB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7EDB" w:rsidRPr="00612EBC" w:rsidTr="00B622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shd w:val="clear" w:color="auto" w:fill="FDE9D9" w:themeFill="accent6" w:themeFillTint="33"/>
          </w:tcPr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7EDB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10</w:t>
            </w: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Improving Population Health &amp; Wellbeing</w:t>
            </w: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E4DB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Level 5</w:t>
            </w:r>
          </w:p>
        </w:tc>
        <w:tc>
          <w:tcPr>
            <w:tcW w:w="13236" w:type="dxa"/>
            <w:gridSpan w:val="2"/>
            <w:shd w:val="clear" w:color="auto" w:fill="F79646" w:themeFill="accent6"/>
            <w:vAlign w:val="center"/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Concepts, principles and models for promoting health and wellbeing including understanding and application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principles of controlling non-communicable diseases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Various health conditions including their nature, diagnosis and prognosis; effect on individuals and the people that are significant to them; ways of managing the condition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Arguments against promoting health and wellbeing and how to appraise the nature, context and basis of people’s arguments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apply the principles of assessing and investigating risks to health and wellbeing including long-term exposure to environmental hazards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apply legislation relevant to the protection of the population’s health and wellbeing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</w:t>
            </w: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ole and legal responsibilities of the healthcare organisations involved in protecting the population’s health and wellbeing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The importance of, and how to achieve, effective relationships with colleagues in the protection of the population’s health and wellbeing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267EDB" w:rsidRPr="002E0B9E" w:rsidRDefault="00267EDB" w:rsidP="00B622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2E0B9E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000000"/>
                <w:sz w:val="17"/>
                <w:szCs w:val="17"/>
              </w:rPr>
              <w:t>How to apply negotiating and influencing skills in working with others to promote health and wellbeing and to reduce inequalities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267EDB" w:rsidRPr="007E4DB2" w:rsidRDefault="00267EDB" w:rsidP="00B622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67EDB" w:rsidRPr="007E4DB2" w:rsidTr="00B6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vAlign w:val="center"/>
          </w:tcPr>
          <w:p w:rsidR="00267EDB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267EDB" w:rsidRPr="007E4DB2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7E4DB2">
              <w:rPr>
                <w:rFonts w:ascii="Arial" w:hAnsi="Arial" w:cs="Arial"/>
                <w:sz w:val="12"/>
                <w:szCs w:val="12"/>
              </w:rPr>
              <w:t>NOS ref: PHS05, PHP13, PHP41</w:t>
            </w:r>
          </w:p>
          <w:p w:rsidR="00267EDB" w:rsidRPr="00BB32C8" w:rsidRDefault="00267EDB" w:rsidP="00B6223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6" w:type="dxa"/>
          </w:tcPr>
          <w:p w:rsidR="00267EDB" w:rsidRDefault="00267EDB" w:rsidP="00B62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73E0" w:rsidRPr="00612EBC" w:rsidTr="00FE63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6E73E0" w:rsidRDefault="006E73E0" w:rsidP="00FE63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73E0" w:rsidRPr="00612EBC" w:rsidRDefault="006E73E0" w:rsidP="00FE63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6E73E0" w:rsidRDefault="006E73E0" w:rsidP="00FE634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6E73E0" w:rsidRPr="00B04548" w:rsidRDefault="006E73E0" w:rsidP="00FE634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6E73E0" w:rsidRPr="00D50496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6E73E0" w:rsidRPr="00D50496" w:rsidRDefault="006E73E0" w:rsidP="00FE63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:rsidR="006E73E0" w:rsidRPr="00D50496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E73E0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101431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101431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101431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101431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101431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:rsidR="006E73E0" w:rsidRPr="00374C79" w:rsidRDefault="006E73E0" w:rsidP="00FE634D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6E73E0" w:rsidRPr="00374C79" w:rsidRDefault="006E73E0" w:rsidP="00FE6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6E73E0" w:rsidRPr="00D50496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E73E0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29415F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29415F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29415F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6E73E0" w:rsidRPr="00D50496" w:rsidRDefault="006E73E0" w:rsidP="00FE63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E73E0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29415F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29415F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29415F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E73E0" w:rsidRPr="007E4DB2" w:rsidTr="00FE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E73E0" w:rsidRPr="0029415F" w:rsidRDefault="006E73E0" w:rsidP="00FE63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6E73E0" w:rsidRPr="00B04548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E73E0" w:rsidRPr="007E4DB2" w:rsidRDefault="006E73E0" w:rsidP="00FE6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>
      <w:bookmarkStart w:id="0" w:name="_GoBack"/>
      <w:bookmarkEnd w:id="0"/>
    </w:p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7A1806" w:rsidRPr="007E4DB2" w:rsidSect="00501A7C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A6B81"/>
    <w:rsid w:val="000C25DD"/>
    <w:rsid w:val="000D0A21"/>
    <w:rsid w:val="00101431"/>
    <w:rsid w:val="001676BF"/>
    <w:rsid w:val="0017736D"/>
    <w:rsid w:val="00191B6C"/>
    <w:rsid w:val="00232D7F"/>
    <w:rsid w:val="00267EDB"/>
    <w:rsid w:val="0029415F"/>
    <w:rsid w:val="002B7E07"/>
    <w:rsid w:val="002E0B9E"/>
    <w:rsid w:val="00315E05"/>
    <w:rsid w:val="003256C3"/>
    <w:rsid w:val="00383597"/>
    <w:rsid w:val="003B0410"/>
    <w:rsid w:val="00426330"/>
    <w:rsid w:val="00460ED7"/>
    <w:rsid w:val="00465F34"/>
    <w:rsid w:val="00487B07"/>
    <w:rsid w:val="0049288D"/>
    <w:rsid w:val="004B4461"/>
    <w:rsid w:val="004D24EB"/>
    <w:rsid w:val="00501A7C"/>
    <w:rsid w:val="005B12FB"/>
    <w:rsid w:val="00612EBC"/>
    <w:rsid w:val="00672D25"/>
    <w:rsid w:val="006E73E0"/>
    <w:rsid w:val="006F3E2F"/>
    <w:rsid w:val="00700AC6"/>
    <w:rsid w:val="007265A9"/>
    <w:rsid w:val="00795723"/>
    <w:rsid w:val="007A1806"/>
    <w:rsid w:val="007E4DB2"/>
    <w:rsid w:val="00894E8D"/>
    <w:rsid w:val="00920D2A"/>
    <w:rsid w:val="00923B52"/>
    <w:rsid w:val="009273AA"/>
    <w:rsid w:val="009C21BA"/>
    <w:rsid w:val="009E095F"/>
    <w:rsid w:val="00A14725"/>
    <w:rsid w:val="00A4275B"/>
    <w:rsid w:val="00A44537"/>
    <w:rsid w:val="00A902F4"/>
    <w:rsid w:val="00AB61B0"/>
    <w:rsid w:val="00B02CD3"/>
    <w:rsid w:val="00B174DB"/>
    <w:rsid w:val="00BB32C8"/>
    <w:rsid w:val="00CB4F86"/>
    <w:rsid w:val="00CD64C0"/>
    <w:rsid w:val="00D50496"/>
    <w:rsid w:val="00D651A7"/>
    <w:rsid w:val="00DC3D8D"/>
    <w:rsid w:val="00DE4007"/>
    <w:rsid w:val="00DF6101"/>
    <w:rsid w:val="00E43D23"/>
    <w:rsid w:val="00E607A8"/>
    <w:rsid w:val="00E61305"/>
    <w:rsid w:val="00EC3E3C"/>
    <w:rsid w:val="00F37418"/>
    <w:rsid w:val="00F80C35"/>
    <w:rsid w:val="00F85A0E"/>
    <w:rsid w:val="00FC5F7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47D06-EA61-4269-86B3-2696243E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6</cp:revision>
  <cp:lastPrinted>2016-08-03T13:33:00Z</cp:lastPrinted>
  <dcterms:created xsi:type="dcterms:W3CDTF">2016-08-03T14:56:00Z</dcterms:created>
  <dcterms:modified xsi:type="dcterms:W3CDTF">2017-03-30T10:20:00Z</dcterms:modified>
</cp:coreProperties>
</file>