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1" w:rsidRPr="00A44537" w:rsidRDefault="00EF50F8" w:rsidP="0017736D">
      <w:pPr>
        <w:pStyle w:val="NoSpacing"/>
        <w:spacing w:line="276" w:lineRule="auto"/>
        <w:jc w:val="both"/>
        <w:rPr>
          <w:rFonts w:ascii="Arial" w:hAnsi="Arial" w:cs="Arial"/>
          <w:b/>
          <w:color w:val="E36C0A"/>
          <w:sz w:val="32"/>
          <w:szCs w:val="32"/>
          <w:lang w:val="en-GB"/>
        </w:rPr>
      </w:pPr>
      <w:r>
        <w:rPr>
          <w:rFonts w:ascii="Arial" w:hAnsi="Arial" w:cs="Arial"/>
          <w:b/>
          <w:noProof/>
          <w:color w:val="E36C0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81C9" wp14:editId="7337CE83">
                <wp:simplePos x="0" y="0"/>
                <wp:positionH relativeFrom="column">
                  <wp:posOffset>6191250</wp:posOffset>
                </wp:positionH>
                <wp:positionV relativeFrom="paragraph">
                  <wp:posOffset>-323850</wp:posOffset>
                </wp:positionV>
                <wp:extent cx="31623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F8" w:rsidRPr="0068119A" w:rsidRDefault="00EF50F8" w:rsidP="00EF50F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provider:</w:t>
                            </w:r>
                          </w:p>
                          <w:p w:rsidR="00EF50F8" w:rsidRPr="0068119A" w:rsidRDefault="00EF50F8" w:rsidP="00EF50F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8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5pt;margin-top:-25.5pt;width:249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" fillcolor="white [3201]" strokeweight=".5pt">
                <v:textbox>
                  <w:txbxContent>
                    <w:p w:rsidR="00EF50F8" w:rsidRPr="0068119A" w:rsidRDefault="00EF50F8" w:rsidP="00EF50F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provider:</w:t>
                      </w:r>
                    </w:p>
                    <w:p w:rsidR="00EF50F8" w:rsidRPr="0068119A" w:rsidRDefault="00EF50F8" w:rsidP="00EF50F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title:</w:t>
                      </w:r>
                    </w:p>
                  </w:txbxContent>
                </v:textbox>
              </v:shape>
            </w:pict>
          </mc:Fallback>
        </mc:AlternateConten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>Mapping Pro-forma – Workforce Competence Model</w:t>
      </w:r>
      <w:r w:rsidR="00E34D52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– Level 4</w:t>
      </w:r>
    </w:p>
    <w:p w:rsidR="00A44537" w:rsidRDefault="00A44537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:rsidR="00EC3E3C" w:rsidRDefault="00672D25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Use the form below to </w:t>
      </w:r>
      <w:r w:rsidRPr="00B57A2C">
        <w:rPr>
          <w:rFonts w:ascii="Arial" w:hAnsi="Arial" w:cs="Arial"/>
          <w:bCs/>
          <w:i/>
          <w:iCs/>
          <w:sz w:val="20"/>
        </w:rPr>
        <w:t xml:space="preserve">show </w:t>
      </w:r>
      <w:r>
        <w:rPr>
          <w:rFonts w:ascii="Arial" w:hAnsi="Arial" w:cs="Arial"/>
          <w:bCs/>
          <w:i/>
          <w:iCs/>
          <w:sz w:val="20"/>
        </w:rPr>
        <w:t xml:space="preserve">clearly </w:t>
      </w:r>
      <w:r w:rsidRPr="00B57A2C">
        <w:rPr>
          <w:rFonts w:ascii="Arial" w:hAnsi="Arial" w:cs="Arial"/>
          <w:bCs/>
          <w:i/>
          <w:iCs/>
          <w:sz w:val="20"/>
        </w:rPr>
        <w:t xml:space="preserve">which </w:t>
      </w:r>
      <w:r w:rsidR="004B4461">
        <w:rPr>
          <w:rFonts w:ascii="Arial" w:hAnsi="Arial" w:cs="Arial"/>
          <w:bCs/>
          <w:i/>
          <w:iCs/>
          <w:sz w:val="20"/>
        </w:rPr>
        <w:t xml:space="preserve">competences and </w:t>
      </w:r>
      <w:r w:rsidRPr="00B57A2C">
        <w:rPr>
          <w:rFonts w:ascii="Arial" w:hAnsi="Arial" w:cs="Arial"/>
          <w:bCs/>
          <w:i/>
          <w:iCs/>
          <w:sz w:val="20"/>
        </w:rPr>
        <w:t>sub-competences your course covers</w:t>
      </w:r>
      <w:r>
        <w:rPr>
          <w:rFonts w:ascii="Arial" w:hAnsi="Arial" w:cs="Arial"/>
          <w:bCs/>
          <w:i/>
          <w:iCs/>
          <w:sz w:val="20"/>
        </w:rPr>
        <w:t xml:space="preserve"> and where</w:t>
      </w:r>
      <w:r w:rsidR="003B0410">
        <w:rPr>
          <w:rFonts w:ascii="Arial" w:hAnsi="Arial" w:cs="Arial"/>
          <w:bCs/>
          <w:i/>
          <w:iCs/>
          <w:sz w:val="20"/>
        </w:rPr>
        <w:t xml:space="preserve"> each is addressed in the course document</w:t>
      </w:r>
      <w:r w:rsidR="00F80C35">
        <w:rPr>
          <w:rFonts w:ascii="Arial" w:hAnsi="Arial" w:cs="Arial"/>
          <w:bCs/>
          <w:i/>
          <w:iCs/>
          <w:sz w:val="20"/>
        </w:rPr>
        <w:t>s</w:t>
      </w:r>
      <w:r w:rsidRPr="00B57A2C">
        <w:rPr>
          <w:rFonts w:ascii="Arial" w:hAnsi="Arial" w:cs="Arial"/>
          <w:bCs/>
          <w:i/>
          <w:iCs/>
          <w:sz w:val="20"/>
        </w:rPr>
        <w:t xml:space="preserve">. You can do this by </w:t>
      </w:r>
      <w:r w:rsidR="00F80C35">
        <w:rPr>
          <w:rFonts w:ascii="Arial" w:hAnsi="Arial" w:cs="Arial"/>
          <w:bCs/>
          <w:i/>
          <w:iCs/>
          <w:sz w:val="20"/>
        </w:rPr>
        <w:t>labelling</w:t>
      </w:r>
      <w:r w:rsidRPr="00B57A2C">
        <w:rPr>
          <w:rFonts w:ascii="Arial" w:hAnsi="Arial" w:cs="Arial"/>
          <w:bCs/>
          <w:i/>
          <w:iCs/>
          <w:sz w:val="20"/>
        </w:rPr>
        <w:t xml:space="preserve"> the document</w:t>
      </w:r>
      <w:r w:rsidR="004B4461">
        <w:rPr>
          <w:rFonts w:ascii="Arial" w:hAnsi="Arial" w:cs="Arial"/>
          <w:bCs/>
          <w:i/>
          <w:iCs/>
          <w:sz w:val="20"/>
        </w:rPr>
        <w:t xml:space="preserve">s you </w:t>
      </w:r>
      <w:r w:rsidR="00F80C35">
        <w:rPr>
          <w:rFonts w:ascii="Arial" w:hAnsi="Arial" w:cs="Arial"/>
          <w:bCs/>
          <w:i/>
          <w:iCs/>
          <w:sz w:val="20"/>
        </w:rPr>
        <w:t xml:space="preserve">have </w:t>
      </w:r>
      <w:r w:rsidR="004B4461">
        <w:rPr>
          <w:rFonts w:ascii="Arial" w:hAnsi="Arial" w:cs="Arial"/>
          <w:bCs/>
          <w:i/>
          <w:iCs/>
          <w:sz w:val="20"/>
        </w:rPr>
        <w:t>provided</w:t>
      </w:r>
      <w:r w:rsidR="00A902F4">
        <w:rPr>
          <w:rFonts w:ascii="Arial" w:hAnsi="Arial" w:cs="Arial"/>
          <w:bCs/>
          <w:i/>
          <w:iCs/>
          <w:sz w:val="20"/>
        </w:rPr>
        <w:t>,</w:t>
      </w:r>
      <w:r w:rsidR="00F80C35">
        <w:rPr>
          <w:rFonts w:ascii="Arial" w:hAnsi="Arial" w:cs="Arial"/>
          <w:bCs/>
          <w:i/>
          <w:iCs/>
          <w:sz w:val="20"/>
        </w:rPr>
        <w:t xml:space="preserve"> with comments, codes or line numbers</w:t>
      </w:r>
      <w:r w:rsidRPr="00B57A2C">
        <w:rPr>
          <w:rFonts w:ascii="Arial" w:hAnsi="Arial" w:cs="Arial"/>
          <w:bCs/>
          <w:i/>
          <w:iCs/>
          <w:sz w:val="20"/>
        </w:rPr>
        <w:t xml:space="preserve"> </w:t>
      </w:r>
      <w:r w:rsidR="00FE3AA9">
        <w:rPr>
          <w:rFonts w:ascii="Arial" w:hAnsi="Arial" w:cs="Arial"/>
          <w:bCs/>
          <w:i/>
          <w:iCs/>
          <w:sz w:val="20"/>
        </w:rPr>
        <w:t xml:space="preserve">where </w:t>
      </w:r>
      <w:r w:rsidRPr="00B57A2C">
        <w:rPr>
          <w:rFonts w:ascii="Arial" w:hAnsi="Arial" w:cs="Arial"/>
          <w:bCs/>
          <w:i/>
          <w:iCs/>
          <w:sz w:val="20"/>
        </w:rPr>
        <w:t>each</w:t>
      </w:r>
      <w:r w:rsidRPr="00B57A2C">
        <w:rPr>
          <w:rFonts w:ascii="Arial" w:hAnsi="Arial" w:cs="Arial"/>
          <w:i/>
          <w:iCs/>
          <w:sz w:val="20"/>
        </w:rPr>
        <w:t xml:space="preserve"> sub-competence</w:t>
      </w:r>
      <w:r w:rsidR="00FE3AA9">
        <w:rPr>
          <w:rFonts w:ascii="Arial" w:hAnsi="Arial" w:cs="Arial"/>
          <w:i/>
          <w:iCs/>
          <w:sz w:val="20"/>
        </w:rPr>
        <w:t xml:space="preserve"> is addressed,</w:t>
      </w:r>
      <w:r w:rsidR="00DE400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then refer to each label in the </w:t>
      </w:r>
      <w:r w:rsidR="004B4461">
        <w:rPr>
          <w:rFonts w:ascii="Arial" w:hAnsi="Arial" w:cs="Arial"/>
          <w:i/>
          <w:iCs/>
          <w:sz w:val="20"/>
        </w:rPr>
        <w:t xml:space="preserve">second column of </w:t>
      </w:r>
      <w:r w:rsidR="00FE3AA9">
        <w:rPr>
          <w:rFonts w:ascii="Arial" w:hAnsi="Arial" w:cs="Arial"/>
          <w:i/>
          <w:iCs/>
          <w:sz w:val="20"/>
        </w:rPr>
        <w:t>this</w:t>
      </w:r>
      <w:r w:rsidR="004B4461">
        <w:rPr>
          <w:rFonts w:ascii="Arial" w:hAnsi="Arial" w:cs="Arial"/>
          <w:i/>
          <w:iCs/>
          <w:sz w:val="20"/>
        </w:rPr>
        <w:t xml:space="preserve"> </w:t>
      </w:r>
      <w:r w:rsidR="00FE3AA9">
        <w:rPr>
          <w:rFonts w:ascii="Arial" w:hAnsi="Arial" w:cs="Arial"/>
          <w:i/>
          <w:iCs/>
          <w:sz w:val="20"/>
        </w:rPr>
        <w:t xml:space="preserve">mapping form. If </w:t>
      </w:r>
      <w:r w:rsidR="004B4461">
        <w:rPr>
          <w:rFonts w:ascii="Arial" w:hAnsi="Arial" w:cs="Arial"/>
          <w:i/>
          <w:iCs/>
          <w:sz w:val="20"/>
        </w:rPr>
        <w:t>you have provided more than o</w:t>
      </w:r>
      <w:r w:rsidR="00A902F4">
        <w:rPr>
          <w:rFonts w:ascii="Arial" w:hAnsi="Arial" w:cs="Arial"/>
          <w:i/>
          <w:iCs/>
          <w:sz w:val="20"/>
        </w:rPr>
        <w:t xml:space="preserve">ne document, </w:t>
      </w:r>
      <w:r w:rsidR="004B4461">
        <w:rPr>
          <w:rFonts w:ascii="Arial" w:hAnsi="Arial" w:cs="Arial"/>
          <w:i/>
          <w:iCs/>
          <w:sz w:val="20"/>
        </w:rPr>
        <w:t xml:space="preserve">be sure to </w:t>
      </w:r>
      <w:r w:rsidR="00A902F4">
        <w:rPr>
          <w:rFonts w:ascii="Arial" w:hAnsi="Arial" w:cs="Arial"/>
          <w:i/>
          <w:iCs/>
          <w:sz w:val="20"/>
        </w:rPr>
        <w:t>name each</w:t>
      </w:r>
      <w:r w:rsidR="004B4461">
        <w:rPr>
          <w:rFonts w:ascii="Arial" w:hAnsi="Arial" w:cs="Arial"/>
          <w:i/>
          <w:iCs/>
          <w:sz w:val="20"/>
        </w:rPr>
        <w:t xml:space="preserve"> to help course evaluators find the correct place. </w:t>
      </w:r>
    </w:p>
    <w:p w:rsidR="00700AC6" w:rsidRDefault="00EC3E3C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</w:t>
      </w:r>
      <w:r w:rsidR="004B4461" w:rsidRPr="004B4461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>:</w:t>
      </w:r>
      <w:r w:rsidR="004B4461" w:rsidRPr="004B4461">
        <w:rPr>
          <w:rFonts w:ascii="Arial" w:hAnsi="Arial" w:cs="Arial"/>
          <w:i/>
          <w:iCs/>
          <w:sz w:val="20"/>
        </w:rPr>
        <w:t xml:space="preserve"> to show where your course meets Core Competence 1 Fundamentals of Nutrition at Level 3 sub-competence 1, you could mark </w:t>
      </w:r>
      <w:r w:rsidR="00FC5F75">
        <w:rPr>
          <w:rFonts w:ascii="Arial" w:hAnsi="Arial" w:cs="Arial"/>
          <w:i/>
          <w:iCs/>
          <w:sz w:val="20"/>
        </w:rPr>
        <w:t>your course material</w:t>
      </w:r>
      <w:r w:rsidR="004B4461" w:rsidRPr="004B4461">
        <w:rPr>
          <w:rFonts w:ascii="Arial" w:hAnsi="Arial" w:cs="Arial"/>
          <w:i/>
          <w:iCs/>
          <w:sz w:val="20"/>
        </w:rPr>
        <w:t xml:space="preserve"> FHN L3 #1 </w:t>
      </w:r>
      <w:r w:rsidR="00E43D23">
        <w:rPr>
          <w:rFonts w:ascii="Arial" w:hAnsi="Arial" w:cs="Arial"/>
          <w:i/>
          <w:iCs/>
          <w:sz w:val="20"/>
        </w:rPr>
        <w:t xml:space="preserve">where </w:t>
      </w:r>
      <w:r w:rsidR="00FC5F75">
        <w:rPr>
          <w:rFonts w:ascii="Arial" w:hAnsi="Arial" w:cs="Arial"/>
          <w:i/>
          <w:iCs/>
          <w:sz w:val="20"/>
        </w:rPr>
        <w:t>it addresses that sub-competence.</w:t>
      </w:r>
    </w:p>
    <w:p w:rsidR="00700AC6" w:rsidRDefault="00700AC6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4D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  <w:bottom w:val="nil"/>
              <w:right w:val="single" w:sz="4" w:space="0" w:color="F79646" w:themeColor="accent6"/>
            </w:tcBorders>
            <w:shd w:val="clear" w:color="auto" w:fill="FDE9D9" w:themeFill="accent6" w:themeFillTint="33"/>
          </w:tcPr>
          <w:p w:rsidR="009273AA" w:rsidRPr="007E4DB2" w:rsidRDefault="009273AA" w:rsidP="00E607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Fundamentals of Human Nutrition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273AA" w:rsidRPr="007E4DB2" w:rsidRDefault="00672D25" w:rsidP="00DC3D8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D25">
              <w:rPr>
                <w:rFonts w:ascii="Arial" w:hAnsi="Arial" w:cs="Arial"/>
                <w:color w:val="auto"/>
                <w:sz w:val="20"/>
                <w:szCs w:val="24"/>
              </w:rPr>
              <w:t>Detail which sub-competences your course covers</w:t>
            </w:r>
            <w:r w:rsidR="00DC3D8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2D25">
              <w:rPr>
                <w:rFonts w:ascii="Arial" w:hAnsi="Arial" w:cs="Arial"/>
                <w:color w:val="auto"/>
                <w:sz w:val="20"/>
                <w:szCs w:val="24"/>
              </w:rPr>
              <w:t xml:space="preserve">and where </w:t>
            </w:r>
            <w:r w:rsidR="00DC3D8D">
              <w:rPr>
                <w:rFonts w:ascii="Arial" w:hAnsi="Arial" w:cs="Arial"/>
                <w:color w:val="auto"/>
                <w:sz w:val="20"/>
                <w:szCs w:val="24"/>
              </w:rPr>
              <w:t>each</w:t>
            </w:r>
            <w:r w:rsidRPr="00672D25">
              <w:rPr>
                <w:rFonts w:ascii="Arial" w:hAnsi="Arial" w:cs="Arial"/>
                <w:color w:val="auto"/>
                <w:sz w:val="20"/>
                <w:szCs w:val="24"/>
              </w:rPr>
              <w:t xml:space="preserve"> is addressed in the course document</w:t>
            </w:r>
          </w:p>
        </w:tc>
      </w:tr>
      <w:tr w:rsidR="00E34D52" w:rsidRPr="00D50496" w:rsidTr="00E5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  <w:shd w:val="clear" w:color="auto" w:fill="F79646" w:themeFill="accent6"/>
            <w:vAlign w:val="center"/>
          </w:tcPr>
          <w:p w:rsidR="00E34D52" w:rsidRPr="00D50496" w:rsidRDefault="00E34D52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3</w:t>
            </w:r>
          </w:p>
        </w:tc>
        <w:tc>
          <w:tcPr>
            <w:tcW w:w="13236" w:type="dxa"/>
            <w:gridSpan w:val="2"/>
            <w:tcBorders>
              <w:top w:val="nil"/>
            </w:tcBorders>
            <w:shd w:val="clear" w:color="auto" w:fill="F79646" w:themeFill="accent6"/>
            <w:vAlign w:val="center"/>
          </w:tcPr>
          <w:p w:rsidR="00E34D52" w:rsidRPr="00D50496" w:rsidRDefault="00E34D52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34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(for competence 1 at least half of all sub-competences at level 3 must be met)</w:t>
            </w: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Quantities and sources of essential food components required for a healthy and balanced diet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to support individuals with different dietary needs including an awareness of what contributes to an unhealthy diet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 xml:space="preserve">Different ways of preparing and cooking food to a safe and hygienic standard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dietary needs differ by gender and age groups and according to physical activity levels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Different cultural and religious food practices within your local community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financial, social and lifestyle pressures can affect food choice and dietary habits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9E0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to read and interpret food labels and explain the importance of food labelling to others when making food choices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UK guidelines related to nutrition, food groups, portion sizing and eating a balanced and healthy diet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Location and availability of local markets/stores, to enable individuals to access and choose healthy food products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34D52" w:rsidRPr="00D50496" w:rsidTr="00E1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shd w:val="clear" w:color="auto" w:fill="F79646" w:themeFill="accent6"/>
            <w:vAlign w:val="center"/>
          </w:tcPr>
          <w:p w:rsidR="00E34D52" w:rsidRPr="00D50496" w:rsidRDefault="00E34D52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4</w:t>
            </w:r>
          </w:p>
        </w:tc>
        <w:tc>
          <w:tcPr>
            <w:tcW w:w="13236" w:type="dxa"/>
            <w:gridSpan w:val="2"/>
            <w:shd w:val="clear" w:color="auto" w:fill="F79646" w:themeFill="accent6"/>
          </w:tcPr>
          <w:p w:rsidR="00E34D52" w:rsidRPr="00D50496" w:rsidRDefault="00E34D52" w:rsidP="00E34D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34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(for competence 1 at least half of all sub-competences at 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  <w:r w:rsidRPr="00E34D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must be met)</w:t>
            </w: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Basic anatomy and physiology of the human body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foods and nutrients are digested, metabolised, absorbed and stored in the body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The specific nutritional needs required throughout human development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13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Principles of weight management and how energy intake and expenditure affects the body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14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UK policies and regulations surrounding food labelling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Effective health promotion campaigns related to food and nutrition which address prominent chronic diseases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9273AA" w:rsidRPr="00612EBC" w:rsidRDefault="009273AA" w:rsidP="00BB32C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FT103K, FT102K, CHS148, FT105K</w:t>
            </w:r>
          </w:p>
        </w:tc>
        <w:tc>
          <w:tcPr>
            <w:tcW w:w="6756" w:type="dxa"/>
          </w:tcPr>
          <w:p w:rsidR="009273AA" w:rsidRPr="007E4DB2" w:rsidRDefault="009273AA" w:rsidP="00BB32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2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IT Skills &amp; Knowledge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9273AA" w:rsidRPr="007E4DB2" w:rsidRDefault="009273AA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3 and 4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Appropriate terminology when referring to IT systems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How to efficiently manage electronic files and folders to enable information storage, organisation and retrieval storage.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What storage media to use, when and how to use it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Basic use of different software programmes and applications which may be needed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The importance of safe handling, including the protection of sensitive data and the appropriate information security procedures.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auto"/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How to access safe and reliable websites when directing individuals to sources of information.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How to minimise risk when using IT-based communications online and how and why to carry out routine maintenance of IT systems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9273AA" w:rsidRPr="00BB32C8" w:rsidRDefault="009273AA" w:rsidP="00BB32C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IUF:FS, ISF:FS</w:t>
            </w:r>
          </w:p>
        </w:tc>
        <w:tc>
          <w:tcPr>
            <w:tcW w:w="6756" w:type="dxa"/>
          </w:tcPr>
          <w:p w:rsidR="009273AA" w:rsidRPr="007E4DB2" w:rsidRDefault="009273AA" w:rsidP="00BB32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878E3" w:rsidRDefault="009878E3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3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Relating &amp; Communicating to Others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9273AA" w:rsidRPr="007E4DB2" w:rsidRDefault="009273AA" w:rsidP="009273A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3 and 4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Appropriate ways to work with individuals so that they have confidence in you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put individuals at ease and encourage them to take part in health related activities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apply listening skills, empathy and compassion when necessary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use effective forms of questioning to encourage discussions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effective written and verbal communication and personal presentation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present information clearly, concisely, accurately and in ways that aid understanding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A14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communicating reliable evidenced</w:t>
            </w:r>
            <w:r w:rsidR="00A14725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based health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1014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present information to respond to the needs and capabilities of the individual/group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communicating to individual(s) in a way that is consistent with their level of understanding, language, culture, background and preferred ways of communicating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use and adapt quickly to different communication channels to engage with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  <w:r w:rsid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A14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your communication skill</w:t>
            </w:r>
            <w:r w:rsidR="00A1472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 reflect on you, your organisation and workplace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0C25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and when to follow lines of communication within your organisation which enable you to liaise with appropriate individuals at the suitable time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auto"/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ethical conduct when communicating with individuals/groups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9273AA" w:rsidRPr="00BB32C8" w:rsidRDefault="009273AA" w:rsidP="003B041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GEN62, GEN18, HT4, GEN97</w:t>
            </w:r>
          </w:p>
        </w:tc>
        <w:tc>
          <w:tcPr>
            <w:tcW w:w="6756" w:type="dxa"/>
          </w:tcPr>
          <w:p w:rsidR="009273AA" w:rsidRPr="007E4DB2" w:rsidRDefault="009273AA" w:rsidP="003B04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693D" w:rsidRPr="007E4DB2" w:rsidTr="006A6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6A693D" w:rsidRDefault="006A693D" w:rsidP="006A69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693D" w:rsidRDefault="006A693D" w:rsidP="006A69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4</w:t>
            </w:r>
          </w:p>
          <w:p w:rsidR="006A693D" w:rsidRPr="007E4DB2" w:rsidRDefault="006A693D" w:rsidP="006A69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Collaborative Working Practices</w:t>
            </w:r>
          </w:p>
        </w:tc>
      </w:tr>
      <w:tr w:rsidR="006A693D" w:rsidRPr="007E4DB2" w:rsidTr="006A693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79646" w:themeFill="accent6"/>
            <w:vAlign w:val="center"/>
          </w:tcPr>
          <w:p w:rsidR="006A693D" w:rsidRPr="00D50496" w:rsidRDefault="006A693D" w:rsidP="006A693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3 and 4</w:t>
            </w:r>
          </w:p>
        </w:tc>
      </w:tr>
      <w:tr w:rsidR="006A693D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101431" w:rsidRDefault="006A693D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you can and should contribute to team activities and objectives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101431" w:rsidRDefault="006A693D" w:rsidP="006A6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offer supportive and constructive assistance to team members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101431" w:rsidRDefault="006A693D" w:rsidP="006A6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motivate individuals and promote team spirit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101431" w:rsidRDefault="006A693D" w:rsidP="006A6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evaluate and use feedback from others constructively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101431" w:rsidRDefault="006A693D" w:rsidP="006A6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recognising and respecting the roles and responsibilities of colleagues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101431" w:rsidRDefault="006A693D" w:rsidP="006A6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benefits of developing productive working relationships internal and external to your organisation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101431" w:rsidRDefault="006A693D" w:rsidP="006A6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initiating collaborative work processes with colleagues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101431" w:rsidRDefault="006A693D" w:rsidP="006A69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impact your behaviour has on others and the functioning of the team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6A6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vAlign w:val="center"/>
          </w:tcPr>
          <w:p w:rsidR="006A693D" w:rsidRDefault="006A693D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6A693D" w:rsidRPr="007E4DB2" w:rsidRDefault="006A693D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BA320, HSC241, GEN36, GEN35, GEN27</w:t>
            </w:r>
          </w:p>
          <w:p w:rsidR="006A693D" w:rsidRDefault="006A693D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693D" w:rsidRPr="00612EBC" w:rsidTr="000D7D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</w:tcBorders>
            <w:shd w:val="clear" w:color="auto" w:fill="FDE9D9" w:themeFill="accent6" w:themeFillTint="33"/>
          </w:tcPr>
          <w:p w:rsidR="006A693D" w:rsidRDefault="006A693D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693D" w:rsidRDefault="006A693D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5</w:t>
            </w:r>
          </w:p>
          <w:p w:rsidR="006A693D" w:rsidRPr="00612EBC" w:rsidRDefault="006A693D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Effective Organisation &amp; Time Management</w:t>
            </w:r>
          </w:p>
        </w:tc>
        <w:tc>
          <w:tcPr>
            <w:tcW w:w="6756" w:type="dxa"/>
            <w:tcBorders>
              <w:top w:val="single" w:sz="8" w:space="0" w:color="F79646" w:themeColor="accent6"/>
            </w:tcBorders>
            <w:shd w:val="clear" w:color="auto" w:fill="FDE9D9" w:themeFill="accent6" w:themeFillTint="33"/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93D" w:rsidRPr="007E4DB2" w:rsidTr="0004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</w:tcPr>
          <w:p w:rsidR="006A693D" w:rsidRPr="00D50496" w:rsidRDefault="006A693D" w:rsidP="000D7D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 and 4</w:t>
            </w:r>
          </w:p>
        </w:tc>
        <w:tc>
          <w:tcPr>
            <w:tcW w:w="6756" w:type="dxa"/>
            <w:shd w:val="clear" w:color="auto" w:fill="F79646" w:themeFill="accent6"/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A693D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29415F" w:rsidRDefault="006A693D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plan, organise and prioritise your own time to enable you to perform work activities effectively to meet deadlines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29415F" w:rsidRDefault="006A693D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organise and present work to others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29415F" w:rsidRDefault="006A693D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benefits of using your own initiative in the work environment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29415F" w:rsidRDefault="006A693D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responding promptly and appropriately to meet the needs of others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29415F" w:rsidRDefault="006A693D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need to adjust plans and activities unexpectedly in a timely and flexible manner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29415F" w:rsidRDefault="006A693D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Different ways in which your own development can be planned and structured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29415F" w:rsidRDefault="006A693D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checking and using any risk assessments prior to beginning work activities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A693D" w:rsidRPr="0029415F" w:rsidRDefault="006A693D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check for hazards and health, safety and security risk whilst you are working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693D" w:rsidRPr="007E4DB2" w:rsidTr="000D7D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6A693D" w:rsidRDefault="006A693D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6A693D" w:rsidRPr="007E4DB2" w:rsidRDefault="006A693D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HT4, GEN36, GEN62, GEN97, GEN13, CHS148, HSC22, PHP05, 030NLaD06, GEN6, HSC440</w:t>
            </w:r>
          </w:p>
          <w:p w:rsidR="006A693D" w:rsidRPr="00BB32C8" w:rsidRDefault="006A693D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6A693D" w:rsidRDefault="006A693D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693D" w:rsidRPr="00612EBC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6A693D" w:rsidRDefault="006A693D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693D" w:rsidRDefault="006A693D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6</w:t>
            </w:r>
          </w:p>
          <w:p w:rsidR="006A693D" w:rsidRPr="007E4DB2" w:rsidRDefault="006A693D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Promoting Behaviour Change</w:t>
            </w:r>
          </w:p>
        </w:tc>
      </w:tr>
      <w:tr w:rsidR="006A693D" w:rsidRPr="007E4DB2" w:rsidTr="000D7D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79646" w:themeFill="accent6"/>
            <w:vAlign w:val="center"/>
          </w:tcPr>
          <w:p w:rsidR="006A693D" w:rsidRPr="007E4DB2" w:rsidRDefault="006A693D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 and 4</w:t>
            </w: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FFFFF" w:themeFill="background1"/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FFFFF" w:themeFill="background1"/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Potential barriers to public health and wellbeing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FFFFF" w:themeFill="background1"/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provide information to individuals, groups and communities about behaviour change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The importance of encouraging individuals to identify for themselves the factors that affect their health and wellbeing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benefits of encouraging individuals to recognise their strengths and value themselves positively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motivating individuals throughout the behaviour change process in a manner that is appropriate to them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General strategies for promoting behaviour change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range of services available locally for people who need information and support in making and maintaining changes in their behaviour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access information and data on the use of relevant services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kinds of misinformation which people receive about health and wellbeing and how this can be counteracted through behavioural change activities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044928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44928" w:rsidRPr="007E4DB2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PHP13, PHP05, PHP15, PHP41, CHS148</w:t>
            </w:r>
          </w:p>
          <w:p w:rsidR="00044928" w:rsidRPr="00BB32C8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044928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4928" w:rsidRPr="00612EBC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044928" w:rsidRDefault="00044928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4928" w:rsidRPr="007E4DB2" w:rsidRDefault="00044928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7</w:t>
            </w:r>
          </w:p>
          <w:p w:rsidR="00044928" w:rsidRPr="007E4DB2" w:rsidRDefault="00044928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Data Collection Techniques</w:t>
            </w:r>
          </w:p>
        </w:tc>
      </w:tr>
      <w:tr w:rsidR="00044928" w:rsidRPr="007E4DB2" w:rsidTr="000D7D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79646" w:themeFill="accent6"/>
            <w:vAlign w:val="center"/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Principle of valid consent and how to obtain consent from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Nature and sources of the data and information to be collected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Appropriate use of data collection tools and techniques in your area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Objectives and purpose of the data and information collection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Data entry, storage and retrieval practices and procedures in accordance with organisational polices and standards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Data sharing protocols in place which apply to data sources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044928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44928" w:rsidRPr="007E4DB2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H17, CHS148, HT4, PHP05</w:t>
            </w:r>
          </w:p>
          <w:p w:rsidR="00044928" w:rsidRPr="00BB32C8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044928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4928" w:rsidRPr="00612EBC" w:rsidTr="000D7D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044928" w:rsidRDefault="00044928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4928" w:rsidRDefault="00044928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8</w:t>
            </w:r>
          </w:p>
          <w:p w:rsidR="00044928" w:rsidRPr="007E4DB2" w:rsidRDefault="00044928" w:rsidP="000D7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Facilitating Group Activities</w:t>
            </w: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79646" w:themeFill="accent6"/>
            <w:vAlign w:val="center"/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individual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’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s needs, requirements and planned outcomes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Why it is important for individuals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’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 needs to be at the centre of programme plans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involve the group in the delivery of programme plans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How to structure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 demonstration so that the group can get the most out of it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encourage individuals to ask questions and give explanations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regularly monitoring the group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’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s understanding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identifying which learning outcomes will be achieved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esources needed to deliver the plan and ensure these are within allocated budget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reduce distractions and disruptions as much as possible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evaluate effective learning outcomes for future development and improvement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assess and manage risk whilst facilitating learning and development in groups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ensure that group activities take place in a safe environment and allow learners to see the demonstration/activity clearly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044928" w:rsidRPr="002E0B9E" w:rsidRDefault="00044928" w:rsidP="000D7D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co-ordinate learning and development activities to meet individual and group needs</w:t>
            </w:r>
          </w:p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044928" w:rsidRPr="007E4DB2" w:rsidRDefault="00044928" w:rsidP="000D7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4928" w:rsidRPr="007E4DB2" w:rsidTr="000D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044928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44928" w:rsidRPr="007E4DB2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030NLaD06, 030NLaD03, PL309S</w:t>
            </w:r>
          </w:p>
          <w:p w:rsidR="00044928" w:rsidRPr="00BB32C8" w:rsidRDefault="00044928" w:rsidP="000D7D8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044928" w:rsidRDefault="00044928" w:rsidP="000D7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248B" w:rsidRPr="00612EBC" w:rsidTr="00FE63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7C248B" w:rsidRDefault="007C248B" w:rsidP="00FE63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248B" w:rsidRPr="00612EBC" w:rsidRDefault="007C248B" w:rsidP="00FE63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24"/>
                <w:szCs w:val="24"/>
              </w:rPr>
              <w:t>Code of Practice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7C248B" w:rsidRDefault="007C248B" w:rsidP="00FE634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7C248B" w:rsidRPr="00B04548" w:rsidRDefault="007C248B" w:rsidP="00FE634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000000"/>
              </w:rPr>
              <w:t xml:space="preserve">All Sub Competences of </w:t>
            </w:r>
            <w:r>
              <w:rPr>
                <w:rFonts w:ascii="Arial" w:hAnsi="Arial" w:cs="Arial"/>
                <w:color w:val="000000"/>
              </w:rPr>
              <w:t>Code of Practice</w:t>
            </w:r>
            <w:r w:rsidRPr="00B04548">
              <w:rPr>
                <w:rFonts w:ascii="Arial" w:hAnsi="Arial" w:cs="Arial"/>
                <w:color w:val="000000"/>
              </w:rPr>
              <w:t xml:space="preserve"> must be addressed</w:t>
            </w:r>
          </w:p>
        </w:tc>
      </w:tr>
      <w:tr w:rsidR="007C248B" w:rsidRPr="00D50496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7C248B" w:rsidRPr="00D50496" w:rsidRDefault="007C248B" w:rsidP="00FE63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</w:t>
            </w: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Understand the boundaries of your role and responsibilities</w:t>
            </w:r>
          </w:p>
        </w:tc>
        <w:tc>
          <w:tcPr>
            <w:tcW w:w="6756" w:type="dxa"/>
            <w:shd w:val="clear" w:color="auto" w:fill="F79646" w:themeFill="accent6"/>
          </w:tcPr>
          <w:p w:rsidR="007C248B" w:rsidRPr="00D50496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C248B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101431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Work within the limits of your knowledge, competence and skills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101431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the boundary of your role and if necessary, refer on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101431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Seek supervision when situations are beyond your competence and authority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101431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Promote and demonstrate good practice as an individual and as a team member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101431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e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accountable for your own decisions and behaviours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</w:tcPr>
          <w:p w:rsidR="007C248B" w:rsidRPr="00374C79" w:rsidRDefault="007C248B" w:rsidP="00FE634D">
            <w:pPr>
              <w:rPr>
                <w:color w:val="FFFFFF" w:themeColor="background1"/>
              </w:rPr>
            </w:pPr>
            <w:r w:rsidRPr="00374C79">
              <w:rPr>
                <w:color w:val="FFFFFF" w:themeColor="background1"/>
              </w:rPr>
              <w:t>2.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7C248B" w:rsidRPr="00374C79" w:rsidRDefault="007C248B" w:rsidP="00FE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74C79">
              <w:rPr>
                <w:b/>
                <w:color w:val="FFFFFF" w:themeColor="background1"/>
              </w:rPr>
              <w:t xml:space="preserve">Maintain the levels of your competence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7C248B" w:rsidRPr="00D50496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C248B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29415F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Maintain competence within your role and field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29415F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Keep knowledge and skills up-to-date to ensure safe and effective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29415F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your own development needs and make continuing improvements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7C248B" w:rsidRPr="00D50496" w:rsidRDefault="007C248B" w:rsidP="00FE63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</w:t>
            </w: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Uphold basic standards of good character</w:t>
            </w:r>
          </w:p>
        </w:tc>
        <w:tc>
          <w:tcPr>
            <w:tcW w:w="6756" w:type="dxa"/>
            <w:shd w:val="clear" w:color="auto" w:fill="F79646" w:themeFill="accent6"/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C248B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29415F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dignity, privacy and safety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29415F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honest, trustworthy, reliable and dependable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29415F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Ensure that the service you provide is delivered equally and inclusively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C248B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7C248B" w:rsidRPr="0029415F" w:rsidRDefault="007C248B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C248B" w:rsidRPr="00B04548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and promote the views, wishes and wellbeing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7C248B" w:rsidRPr="007E4DB2" w:rsidRDefault="007C248B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bookmarkStart w:id="0" w:name="_GoBack"/>
      <w:bookmarkEnd w:id="0"/>
    </w:p>
    <w:sectPr w:rsidR="007A1806" w:rsidRPr="007E4DB2" w:rsidSect="00501A7C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1"/>
    <w:rsid w:val="000108C3"/>
    <w:rsid w:val="00044928"/>
    <w:rsid w:val="00056921"/>
    <w:rsid w:val="00057B79"/>
    <w:rsid w:val="000A6B81"/>
    <w:rsid w:val="000C25DD"/>
    <w:rsid w:val="00101431"/>
    <w:rsid w:val="001676BF"/>
    <w:rsid w:val="0017736D"/>
    <w:rsid w:val="00191B6C"/>
    <w:rsid w:val="00232D7F"/>
    <w:rsid w:val="0029415F"/>
    <w:rsid w:val="002B7E07"/>
    <w:rsid w:val="002E0B9E"/>
    <w:rsid w:val="00315E05"/>
    <w:rsid w:val="003256C3"/>
    <w:rsid w:val="00383597"/>
    <w:rsid w:val="003B0410"/>
    <w:rsid w:val="00426330"/>
    <w:rsid w:val="00460ED7"/>
    <w:rsid w:val="00465F34"/>
    <w:rsid w:val="00487B07"/>
    <w:rsid w:val="0049288D"/>
    <w:rsid w:val="004B4461"/>
    <w:rsid w:val="004D24EB"/>
    <w:rsid w:val="00501A7C"/>
    <w:rsid w:val="005B12FB"/>
    <w:rsid w:val="00612EBC"/>
    <w:rsid w:val="00672D25"/>
    <w:rsid w:val="006A693D"/>
    <w:rsid w:val="006F3E2F"/>
    <w:rsid w:val="00700AC6"/>
    <w:rsid w:val="007265A9"/>
    <w:rsid w:val="00795723"/>
    <w:rsid w:val="007A1806"/>
    <w:rsid w:val="007C248B"/>
    <w:rsid w:val="007E4DB2"/>
    <w:rsid w:val="00894E8D"/>
    <w:rsid w:val="00920D2A"/>
    <w:rsid w:val="00923B52"/>
    <w:rsid w:val="009273AA"/>
    <w:rsid w:val="009878E3"/>
    <w:rsid w:val="009C21BA"/>
    <w:rsid w:val="009E095F"/>
    <w:rsid w:val="00A14725"/>
    <w:rsid w:val="00A4275B"/>
    <w:rsid w:val="00A44537"/>
    <w:rsid w:val="00A902F4"/>
    <w:rsid w:val="00AB61B0"/>
    <w:rsid w:val="00B02CD3"/>
    <w:rsid w:val="00B174DB"/>
    <w:rsid w:val="00BB32C8"/>
    <w:rsid w:val="00CB4F86"/>
    <w:rsid w:val="00CD64C0"/>
    <w:rsid w:val="00D50496"/>
    <w:rsid w:val="00D651A7"/>
    <w:rsid w:val="00DC3D8D"/>
    <w:rsid w:val="00DE4007"/>
    <w:rsid w:val="00DF6101"/>
    <w:rsid w:val="00E34D52"/>
    <w:rsid w:val="00E43D23"/>
    <w:rsid w:val="00E607A8"/>
    <w:rsid w:val="00E61305"/>
    <w:rsid w:val="00EC3E3C"/>
    <w:rsid w:val="00EF50F8"/>
    <w:rsid w:val="00F37418"/>
    <w:rsid w:val="00F80C35"/>
    <w:rsid w:val="00FC5F75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0AF7F-E36E-4108-88DA-EF96B84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A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D25"/>
    <w:pPr>
      <w:spacing w:after="80" w:line="240" w:lineRule="auto"/>
    </w:pPr>
    <w:rPr>
      <w:rFonts w:ascii="Arial Narrow" w:hAnsi="Arial Narrow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D25"/>
    <w:rPr>
      <w:rFonts w:ascii="Arial Narrow" w:hAnsi="Arial Narrow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445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A4453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D901B-7464-4400-8CF4-E4463934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Paula Reily</cp:lastModifiedBy>
  <cp:revision>5</cp:revision>
  <cp:lastPrinted>2016-08-03T13:33:00Z</cp:lastPrinted>
  <dcterms:created xsi:type="dcterms:W3CDTF">2016-08-03T15:12:00Z</dcterms:created>
  <dcterms:modified xsi:type="dcterms:W3CDTF">2017-03-30T10:19:00Z</dcterms:modified>
</cp:coreProperties>
</file>